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4727"/>
      </w:tblGrid>
      <w:tr w:rsidR="00C510C6" w14:paraId="164F4CFF" w14:textId="77777777" w:rsidTr="702FCFF1">
        <w:trPr>
          <w:cantSplit/>
          <w:trHeight w:val="1054"/>
        </w:trPr>
        <w:tc>
          <w:tcPr>
            <w:tcW w:w="7617" w:type="dxa"/>
            <w:vAlign w:val="center"/>
          </w:tcPr>
          <w:p w14:paraId="099216E5" w14:textId="77777777" w:rsidR="00C510C6" w:rsidRDefault="00665FC7">
            <w:pPr>
              <w:pStyle w:val="Heading2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5D73AA" wp14:editId="07777777">
                  <wp:extent cx="4552950" cy="866775"/>
                  <wp:effectExtent l="0" t="0" r="0" b="9525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3.pwcs.edu:7779/pls/portal/url/ITEM/ED264C75E9AA4E69A8033B44E9460A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B1177" w14:textId="77777777" w:rsidR="00C510C6" w:rsidRDefault="00C510C6">
            <w:pPr>
              <w:pStyle w:val="Heading2"/>
              <w:jc w:val="left"/>
              <w:rPr>
                <w:rFonts w:ascii="Footlight MT Light" w:hAnsi="Footlight MT Light"/>
                <w:bCs/>
                <w:sz w:val="36"/>
              </w:rPr>
            </w:pPr>
          </w:p>
        </w:tc>
        <w:tc>
          <w:tcPr>
            <w:tcW w:w="4727" w:type="dxa"/>
            <w:vAlign w:val="center"/>
          </w:tcPr>
          <w:p w14:paraId="4572CC64" w14:textId="77777777" w:rsidR="00C510C6" w:rsidRDefault="702FCFF1">
            <w:pPr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702FCFF1">
              <w:rPr>
                <w:rFonts w:ascii="Footlight MT Light" w:eastAsia="Footlight MT Light" w:hAnsi="Footlight MT Light" w:cs="Footlight MT Light"/>
                <w:b/>
                <w:bCs/>
                <w:sz w:val="40"/>
                <w:szCs w:val="40"/>
              </w:rPr>
              <w:t>Kindergarten</w:t>
            </w:r>
          </w:p>
          <w:p w14:paraId="595E4CE5" w14:textId="77777777" w:rsidR="00C510C6" w:rsidRDefault="702FCFF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702FCFF1"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 xml:space="preserve">Social Studies </w:t>
            </w:r>
          </w:p>
          <w:p w14:paraId="425264D3" w14:textId="77777777" w:rsidR="00AA7D4C" w:rsidRDefault="00AA7D4C">
            <w:pPr>
              <w:jc w:val="center"/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 xml:space="preserve">Suggested Pacing Guide </w:t>
            </w:r>
          </w:p>
          <w:p w14:paraId="6AEADEC6" w14:textId="5551E887" w:rsidR="00C510C6" w:rsidRDefault="702FCFF1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702FCFF1"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>Year at a Glance</w:t>
            </w:r>
          </w:p>
          <w:p w14:paraId="5755A599" w14:textId="1C77F741" w:rsidR="00C510C6" w:rsidRDefault="009B3B59" w:rsidP="002773E6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>202</w:t>
            </w:r>
            <w:r w:rsidR="00EC292D"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>2</w:t>
            </w:r>
            <w:r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>-2</w:t>
            </w:r>
            <w:r w:rsidR="00EC292D">
              <w:rPr>
                <w:rFonts w:ascii="Footlight MT Light" w:eastAsia="Footlight MT Light" w:hAnsi="Footlight MT Light" w:cs="Footlight MT Light"/>
                <w:b/>
                <w:bCs/>
                <w:sz w:val="32"/>
                <w:szCs w:val="32"/>
              </w:rPr>
              <w:t>3</w:t>
            </w:r>
          </w:p>
        </w:tc>
      </w:tr>
    </w:tbl>
    <w:p w14:paraId="24D09F84" w14:textId="77777777" w:rsidR="00C510C6" w:rsidRPr="00A422D7" w:rsidRDefault="00C510C6" w:rsidP="00700455">
      <w:pPr>
        <w:pStyle w:val="Heading6"/>
        <w:spacing w:line="240" w:lineRule="auto"/>
        <w:rPr>
          <w:rFonts w:ascii="Tahoma" w:hAnsi="Tahoma" w:cs="Tahoma"/>
          <w:b w:val="0"/>
          <w:sz w:val="16"/>
          <w:szCs w:val="16"/>
        </w:rPr>
      </w:pPr>
    </w:p>
    <w:p w14:paraId="689C456C" w14:textId="77777777" w:rsidR="00C510C6" w:rsidRPr="00AA7D4C" w:rsidRDefault="702FCFF1" w:rsidP="00700455">
      <w:pPr>
        <w:spacing w:line="240" w:lineRule="auto"/>
        <w:jc w:val="center"/>
        <w:rPr>
          <w:rFonts w:ascii="Tahoma" w:hAnsi="Tahoma" w:cs="Tahoma"/>
          <w:bCs/>
          <w:color w:val="FF0000"/>
          <w:sz w:val="16"/>
          <w:szCs w:val="16"/>
        </w:rPr>
      </w:pPr>
      <w:r w:rsidRPr="00AA7D4C">
        <w:rPr>
          <w:rFonts w:ascii="Tahoma" w:eastAsia="Tahoma" w:hAnsi="Tahoma" w:cs="Tahoma"/>
          <w:color w:val="FF0000"/>
          <w:sz w:val="22"/>
          <w:szCs w:val="22"/>
        </w:rPr>
        <w:t>Reflects 18 Weeks of Instructional Time (</w:t>
      </w:r>
      <w:r w:rsidRPr="00AA7D4C">
        <w:rPr>
          <w:rFonts w:ascii="Tahoma" w:eastAsia="Tahoma" w:hAnsi="Tahoma" w:cs="Tahoma"/>
          <w:b/>
          <w:bCs/>
          <w:color w:val="FF0000"/>
          <w:sz w:val="22"/>
          <w:szCs w:val="22"/>
        </w:rPr>
        <w:t>allows for sharing of block with science</w:t>
      </w:r>
      <w:r w:rsidRPr="00AA7D4C">
        <w:rPr>
          <w:rFonts w:ascii="Tahoma" w:eastAsia="Tahoma" w:hAnsi="Tahoma" w:cs="Tahoma"/>
          <w:color w:val="FF0000"/>
          <w:sz w:val="22"/>
          <w:szCs w:val="22"/>
        </w:rPr>
        <w:t>)</w:t>
      </w:r>
    </w:p>
    <w:p w14:paraId="764BE195" w14:textId="77777777" w:rsidR="00C510C6" w:rsidRPr="00700455" w:rsidRDefault="00C510C6" w:rsidP="00700455">
      <w:pPr>
        <w:spacing w:line="240" w:lineRule="auto"/>
        <w:jc w:val="center"/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9045"/>
        <w:gridCol w:w="1945"/>
      </w:tblGrid>
      <w:tr w:rsidR="00C510C6" w14:paraId="0776D21D" w14:textId="77777777" w:rsidTr="007F230F">
        <w:trPr>
          <w:trHeight w:val="720"/>
        </w:trPr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285F8D" w14:textId="77777777" w:rsidR="00C510C6" w:rsidRPr="00E465A4" w:rsidRDefault="702FCFF1">
            <w:pPr>
              <w:pStyle w:val="Heading1"/>
              <w:rPr>
                <w:rFonts w:ascii="Tahoma" w:hAnsi="Tahoma" w:cs="Tahoma"/>
                <w:sz w:val="20"/>
              </w:rPr>
            </w:pPr>
            <w:r w:rsidRPr="702FCFF1">
              <w:rPr>
                <w:rFonts w:ascii="Tahoma" w:eastAsia="Tahoma" w:hAnsi="Tahoma" w:cs="Tahoma"/>
                <w:sz w:val="20"/>
              </w:rPr>
              <w:t>Units of Study</w:t>
            </w:r>
          </w:p>
          <w:p w14:paraId="5A8501A6" w14:textId="77777777" w:rsidR="00C510C6" w:rsidRPr="00E465A4" w:rsidRDefault="702FCFF1">
            <w:pPr>
              <w:jc w:val="center"/>
              <w:rPr>
                <w:b/>
              </w:rPr>
            </w:pPr>
            <w:r w:rsidRPr="702FCFF1">
              <w:rPr>
                <w:rFonts w:ascii="Tahoma" w:eastAsia="Tahoma" w:hAnsi="Tahoma" w:cs="Tahoma"/>
                <w:b/>
                <w:bCs/>
              </w:rPr>
              <w:t>(Themes)</w:t>
            </w:r>
          </w:p>
        </w:tc>
        <w:tc>
          <w:tcPr>
            <w:tcW w:w="9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9D1F55" w14:textId="77777777" w:rsidR="00C510C6" w:rsidRPr="00E465A4" w:rsidRDefault="702FCFF1">
            <w:pPr>
              <w:jc w:val="center"/>
              <w:rPr>
                <w:b/>
              </w:rPr>
            </w:pPr>
            <w:r w:rsidRPr="702FCFF1">
              <w:rPr>
                <w:rFonts w:ascii="Tahoma" w:eastAsia="Tahoma" w:hAnsi="Tahoma" w:cs="Tahoma"/>
                <w:b/>
                <w:bCs/>
              </w:rPr>
              <w:t>Virginia SOL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859B9" w14:textId="77777777" w:rsidR="00C510C6" w:rsidRPr="00E465A4" w:rsidRDefault="702FCFF1">
            <w:pPr>
              <w:jc w:val="center"/>
              <w:rPr>
                <w:b/>
              </w:rPr>
            </w:pPr>
            <w:r w:rsidRPr="702FCFF1">
              <w:rPr>
                <w:rFonts w:ascii="Tahoma" w:eastAsia="Tahoma" w:hAnsi="Tahoma" w:cs="Tahoma"/>
                <w:b/>
                <w:bCs/>
              </w:rPr>
              <w:t>Suggested Time Frame</w:t>
            </w:r>
          </w:p>
        </w:tc>
      </w:tr>
      <w:tr w:rsidR="00C510C6" w14:paraId="52B7C19E" w14:textId="77777777" w:rsidTr="005521C3">
        <w:trPr>
          <w:cantSplit/>
          <w:trHeight w:val="663"/>
        </w:trPr>
        <w:tc>
          <w:tcPr>
            <w:tcW w:w="1884" w:type="dxa"/>
            <w:vMerge w:val="restart"/>
            <w:tcBorders>
              <w:top w:val="double" w:sz="4" w:space="0" w:color="auto"/>
            </w:tcBorders>
            <w:vAlign w:val="center"/>
          </w:tcPr>
          <w:p w14:paraId="4B8A8D99" w14:textId="77777777" w:rsidR="00C510C6" w:rsidRPr="00E465A4" w:rsidRDefault="702FCFF1">
            <w:pPr>
              <w:jc w:val="center"/>
            </w:pPr>
            <w:r w:rsidRPr="702FCFF1">
              <w:rPr>
                <w:rFonts w:ascii="Tahoma" w:eastAsia="Tahoma" w:hAnsi="Tahoma" w:cs="Tahoma"/>
                <w:b/>
                <w:bCs/>
              </w:rPr>
              <w:t>Civics</w:t>
            </w:r>
          </w:p>
        </w:tc>
        <w:tc>
          <w:tcPr>
            <w:tcW w:w="9045" w:type="dxa"/>
            <w:tcBorders>
              <w:top w:val="double" w:sz="4" w:space="0" w:color="auto"/>
            </w:tcBorders>
            <w:vAlign w:val="center"/>
          </w:tcPr>
          <w:p w14:paraId="23D1AF64" w14:textId="773997CA" w:rsidR="00972962" w:rsidRPr="005521C3" w:rsidRDefault="00972962" w:rsidP="008B3CB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 1: Good Citizens</w:t>
            </w:r>
            <w:r w:rsidR="00A827EC">
              <w:rPr>
                <w:rFonts w:ascii="Tahoma" w:eastAsia="Tahoma" w:hAnsi="Tahoma" w:cs="Tahoma"/>
              </w:rPr>
              <w:t>hip.  SOL K.</w:t>
            </w:r>
            <w:r w:rsidR="00D2460B"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14:paraId="023924CD" w14:textId="748495F9" w:rsidR="00C510C6" w:rsidRPr="00E465A4" w:rsidRDefault="004C5D5C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4 </w:t>
            </w:r>
            <w:r w:rsidR="702FCFF1" w:rsidRPr="702FCFF1">
              <w:rPr>
                <w:rFonts w:ascii="Tahoma" w:eastAsia="Tahoma" w:hAnsi="Tahoma" w:cs="Tahoma"/>
              </w:rPr>
              <w:t>weeks</w:t>
            </w:r>
          </w:p>
        </w:tc>
      </w:tr>
      <w:tr w:rsidR="00C510C6" w14:paraId="4CB61469" w14:textId="77777777" w:rsidTr="007F230F">
        <w:trPr>
          <w:cantSplit/>
          <w:trHeight w:val="738"/>
        </w:trPr>
        <w:tc>
          <w:tcPr>
            <w:tcW w:w="1884" w:type="dxa"/>
            <w:vMerge/>
            <w:tcBorders>
              <w:bottom w:val="double" w:sz="4" w:space="0" w:color="auto"/>
            </w:tcBorders>
            <w:vAlign w:val="center"/>
          </w:tcPr>
          <w:p w14:paraId="23B23F96" w14:textId="77777777" w:rsidR="00C510C6" w:rsidRPr="00E465A4" w:rsidRDefault="00C510C6">
            <w:pPr>
              <w:jc w:val="center"/>
            </w:pPr>
          </w:p>
        </w:tc>
        <w:tc>
          <w:tcPr>
            <w:tcW w:w="9045" w:type="dxa"/>
            <w:tcBorders>
              <w:bottom w:val="double" w:sz="4" w:space="0" w:color="auto"/>
            </w:tcBorders>
            <w:vAlign w:val="center"/>
          </w:tcPr>
          <w:p w14:paraId="3B6085AC" w14:textId="0F6B3E53" w:rsidR="00C510C6" w:rsidRPr="00E465A4" w:rsidRDefault="00972962" w:rsidP="00F17A3D">
            <w:pPr>
              <w:ind w:left="1242" w:hanging="1242"/>
            </w:pPr>
            <w:r>
              <w:rPr>
                <w:rFonts w:ascii="Tahoma" w:eastAsia="Tahoma" w:hAnsi="Tahoma" w:cs="Tahoma"/>
              </w:rPr>
              <w:t>Unit 2: Patriotism</w:t>
            </w:r>
            <w:r w:rsidR="00A827EC">
              <w:rPr>
                <w:rFonts w:ascii="Tahoma" w:eastAsia="Tahoma" w:hAnsi="Tahoma" w:cs="Tahoma"/>
              </w:rPr>
              <w:t>.  SOL K.11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14:paraId="46617F00" w14:textId="77777777" w:rsidR="00C510C6" w:rsidRPr="00E465A4" w:rsidRDefault="702FCFF1">
            <w:pPr>
              <w:jc w:val="center"/>
            </w:pPr>
            <w:r w:rsidRPr="702FCFF1">
              <w:rPr>
                <w:rFonts w:ascii="Tahoma" w:eastAsia="Tahoma" w:hAnsi="Tahoma" w:cs="Tahoma"/>
              </w:rPr>
              <w:t>2 weeks</w:t>
            </w:r>
          </w:p>
        </w:tc>
      </w:tr>
      <w:tr w:rsidR="00972962" w14:paraId="06A82D49" w14:textId="77777777" w:rsidTr="005521C3">
        <w:trPr>
          <w:trHeight w:val="708"/>
        </w:trPr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14:paraId="3FB2A351" w14:textId="77777777" w:rsidR="00972962" w:rsidRPr="00E465A4" w:rsidRDefault="00972962" w:rsidP="00307719">
            <w:pPr>
              <w:pStyle w:val="Heading1"/>
              <w:rPr>
                <w:rFonts w:ascii="Tahoma" w:hAnsi="Tahoma" w:cs="Tahoma"/>
                <w:bCs/>
                <w:sz w:val="20"/>
              </w:rPr>
            </w:pPr>
            <w:r w:rsidRPr="702FCFF1">
              <w:rPr>
                <w:rFonts w:ascii="Tahoma" w:eastAsia="Tahoma" w:hAnsi="Tahoma" w:cs="Tahoma"/>
                <w:sz w:val="20"/>
              </w:rPr>
              <w:t>Economics</w:t>
            </w:r>
          </w:p>
        </w:tc>
        <w:tc>
          <w:tcPr>
            <w:tcW w:w="9045" w:type="dxa"/>
            <w:tcBorders>
              <w:top w:val="double" w:sz="4" w:space="0" w:color="auto"/>
            </w:tcBorders>
            <w:vAlign w:val="center"/>
          </w:tcPr>
          <w:p w14:paraId="48CC4CC4" w14:textId="38AA8889" w:rsidR="00972962" w:rsidRPr="00972962" w:rsidRDefault="00972962" w:rsidP="00FF5C1E">
            <w:pPr>
              <w:ind w:left="1242" w:hanging="1242"/>
              <w:rPr>
                <w:rFonts w:ascii="Tahoma" w:hAnsi="Tahoma" w:cs="Tahoma"/>
              </w:rPr>
            </w:pPr>
            <w:r w:rsidRPr="00972962">
              <w:rPr>
                <w:rFonts w:ascii="Tahoma" w:hAnsi="Tahoma" w:cs="Tahoma"/>
              </w:rPr>
              <w:t>Unit 3: Economics</w:t>
            </w:r>
            <w:r w:rsidR="00D2460B">
              <w:rPr>
                <w:rFonts w:ascii="Tahoma" w:hAnsi="Tahoma" w:cs="Tahoma"/>
              </w:rPr>
              <w:t>.  SOL K.8, K.9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14:paraId="6A863346" w14:textId="77777777" w:rsidR="00972962" w:rsidRPr="00E465A4" w:rsidRDefault="00972962">
            <w:pPr>
              <w:jc w:val="center"/>
            </w:pPr>
            <w:r w:rsidRPr="702FCFF1">
              <w:rPr>
                <w:rFonts w:ascii="Tahoma" w:eastAsia="Tahoma" w:hAnsi="Tahoma" w:cs="Tahoma"/>
              </w:rPr>
              <w:t>3 weeks</w:t>
            </w:r>
          </w:p>
        </w:tc>
      </w:tr>
      <w:tr w:rsidR="00972962" w14:paraId="473A0D18" w14:textId="77777777" w:rsidTr="005521C3">
        <w:trPr>
          <w:trHeight w:val="780"/>
        </w:trPr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3CB30" w14:textId="77777777" w:rsidR="00972962" w:rsidRPr="00E465A4" w:rsidRDefault="00972962">
            <w:pPr>
              <w:jc w:val="center"/>
            </w:pPr>
            <w:r w:rsidRPr="702FCFF1">
              <w:rPr>
                <w:rFonts w:ascii="Tahoma" w:eastAsia="Tahoma" w:hAnsi="Tahoma" w:cs="Tahoma"/>
                <w:b/>
                <w:bCs/>
              </w:rPr>
              <w:t>Geography</w:t>
            </w:r>
          </w:p>
        </w:tc>
        <w:tc>
          <w:tcPr>
            <w:tcW w:w="9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89DA79" w14:textId="5B74C24F" w:rsidR="00972962" w:rsidRPr="00972962" w:rsidRDefault="00972962" w:rsidP="007D7188">
            <w:pPr>
              <w:rPr>
                <w:rFonts w:ascii="Tahoma" w:hAnsi="Tahoma" w:cs="Tahoma"/>
              </w:rPr>
            </w:pPr>
            <w:r w:rsidRPr="00972962">
              <w:rPr>
                <w:rFonts w:ascii="Tahoma" w:hAnsi="Tahoma" w:cs="Tahoma"/>
              </w:rPr>
              <w:t>Unit 4: Geography</w:t>
            </w:r>
            <w:r w:rsidR="00D2460B">
              <w:rPr>
                <w:rFonts w:ascii="Tahoma" w:hAnsi="Tahoma" w:cs="Tahoma"/>
              </w:rPr>
              <w:t xml:space="preserve">.  SOL K.4, K.5, K.6, K.7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D6C94A" w14:textId="0E1C7161" w:rsidR="00972962" w:rsidRPr="00E465A4" w:rsidRDefault="00D2460B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5 </w:t>
            </w:r>
            <w:r w:rsidR="00972962" w:rsidRPr="702FCFF1">
              <w:rPr>
                <w:rFonts w:ascii="Tahoma" w:eastAsia="Tahoma" w:hAnsi="Tahoma" w:cs="Tahoma"/>
              </w:rPr>
              <w:t>weeks</w:t>
            </w:r>
          </w:p>
        </w:tc>
      </w:tr>
      <w:tr w:rsidR="00A22187" w14:paraId="7E254E45" w14:textId="77777777" w:rsidTr="005521C3">
        <w:trPr>
          <w:cantSplit/>
          <w:trHeight w:val="690"/>
        </w:trPr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8CBD0C" w14:textId="77777777" w:rsidR="00A22187" w:rsidRPr="00E465A4" w:rsidRDefault="702FCFF1">
            <w:pPr>
              <w:jc w:val="center"/>
            </w:pPr>
            <w:r w:rsidRPr="702FCFF1">
              <w:rPr>
                <w:rFonts w:ascii="Tahoma" w:eastAsia="Tahoma" w:hAnsi="Tahoma" w:cs="Tahoma"/>
                <w:b/>
                <w:bCs/>
              </w:rPr>
              <w:t>History</w:t>
            </w:r>
          </w:p>
        </w:tc>
        <w:tc>
          <w:tcPr>
            <w:tcW w:w="9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B8AC55" w14:textId="06F3A190" w:rsidR="00A22187" w:rsidRPr="007F230F" w:rsidRDefault="007F230F" w:rsidP="008B3CBC">
            <w:pPr>
              <w:ind w:left="1242" w:hanging="1242"/>
              <w:rPr>
                <w:rFonts w:ascii="Tahoma" w:hAnsi="Tahoma" w:cs="Tahoma"/>
              </w:rPr>
            </w:pPr>
            <w:r w:rsidRPr="007F230F">
              <w:rPr>
                <w:rFonts w:ascii="Tahoma" w:hAnsi="Tahoma" w:cs="Tahoma"/>
              </w:rPr>
              <w:t xml:space="preserve">Unit 5: </w:t>
            </w:r>
            <w:r w:rsidR="00DA71C5">
              <w:rPr>
                <w:rFonts w:ascii="Tahoma" w:hAnsi="Tahoma" w:cs="Tahoma"/>
              </w:rPr>
              <w:t xml:space="preserve">History: Community and </w:t>
            </w:r>
            <w:r w:rsidRPr="007F230F">
              <w:rPr>
                <w:rFonts w:ascii="Tahoma" w:hAnsi="Tahoma" w:cs="Tahoma"/>
              </w:rPr>
              <w:t>Change over Time</w:t>
            </w:r>
            <w:r w:rsidR="00DA71C5">
              <w:rPr>
                <w:rFonts w:ascii="Tahoma" w:hAnsi="Tahoma" w:cs="Tahoma"/>
              </w:rPr>
              <w:t>.  SOL K.2, K.3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DD58A" w14:textId="02A9F8B7" w:rsidR="00A22187" w:rsidRPr="00E465A4" w:rsidRDefault="004C5D5C" w:rsidP="003077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 w:rsidR="702FCFF1" w:rsidRPr="702FCFF1">
              <w:rPr>
                <w:rFonts w:ascii="Tahoma" w:eastAsia="Tahoma" w:hAnsi="Tahoma" w:cs="Tahoma"/>
              </w:rPr>
              <w:t xml:space="preserve"> weeks</w:t>
            </w:r>
          </w:p>
          <w:p w14:paraId="580766BC" w14:textId="77777777" w:rsidR="00A22187" w:rsidRPr="00E465A4" w:rsidRDefault="00A22187" w:rsidP="00FD3C7E">
            <w:pPr>
              <w:jc w:val="center"/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5"/>
      </w:tblGrid>
      <w:tr w:rsidR="005521C3" w14:paraId="783B9923" w14:textId="77777777" w:rsidTr="005521C3">
        <w:trPr>
          <w:trHeight w:val="422"/>
        </w:trPr>
        <w:tc>
          <w:tcPr>
            <w:tcW w:w="13945" w:type="dxa"/>
            <w:vAlign w:val="center"/>
          </w:tcPr>
          <w:p w14:paraId="6DEDE073" w14:textId="1901B419" w:rsidR="005521C3" w:rsidRPr="005521C3" w:rsidRDefault="00AF4991" w:rsidP="005521C3">
            <w:pPr>
              <w:pStyle w:val="BodyText2"/>
              <w:spacing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K.1 </w:t>
            </w:r>
            <w:r w:rsidR="005521C3" w:rsidRPr="005521C3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Throughout the course of study, </w:t>
            </w:r>
            <w:r w:rsidR="005521C3" w:rsidRPr="005521C3">
              <w:rPr>
                <w:sz w:val="20"/>
                <w:szCs w:val="20"/>
              </w:rPr>
              <w:t>students</w:t>
            </w:r>
            <w:r w:rsidR="005521C3" w:rsidRPr="005521C3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will demonstrate skills for historical thinking, geographical analysis, economic decision making, and responsible citizenship by</w:t>
            </w:r>
            <w:r w:rsidR="005521C3">
              <w:rPr>
                <w:rFonts w:ascii="Tahoma" w:eastAsia="Tahoma" w:hAnsi="Tahoma" w:cs="Tahoma"/>
                <w:bCs/>
                <w:sz w:val="20"/>
                <w:szCs w:val="20"/>
              </w:rPr>
              <w:t>:</w:t>
            </w:r>
          </w:p>
          <w:p w14:paraId="59C882CD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a)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viewing artifacts and primary and secondary sources to develop an understanding of history;</w:t>
            </w:r>
          </w:p>
          <w:p w14:paraId="7C4EE961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b)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using basic map skills to support an understanding of the community;</w:t>
            </w:r>
          </w:p>
          <w:p w14:paraId="7A5C388D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c)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gathering and classifying information, sequencing events, and separating fact from fiction to improve understanding of the community;</w:t>
            </w:r>
          </w:p>
          <w:p w14:paraId="3EF2856A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d)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 xml:space="preserve">asking appropriate questions to solve a problem;  </w:t>
            </w:r>
          </w:p>
          <w:p w14:paraId="78F507A6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e)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comparing and contrasting people, places, or events;</w:t>
            </w:r>
          </w:p>
          <w:p w14:paraId="6B336AD5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f)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recognizing direct cause-and-effect relationships;</w:t>
            </w:r>
          </w:p>
          <w:p w14:paraId="2E964D37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g)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making connections between past and present;</w:t>
            </w:r>
          </w:p>
          <w:p w14:paraId="571CF6BE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h)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using a decision-making model to make informed decisions;</w:t>
            </w:r>
          </w:p>
          <w:p w14:paraId="0D32C6F8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proofErr w:type="spellStart"/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i</w:t>
            </w:r>
            <w:proofErr w:type="spellEnd"/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practicing good citizenship skills while collaborating, compromising, and participating in classroom activities; and</w:t>
            </w:r>
          </w:p>
          <w:p w14:paraId="7007D9CE" w14:textId="77777777" w:rsidR="005521C3" w:rsidRPr="005521C3" w:rsidRDefault="005521C3" w:rsidP="005521C3">
            <w:pPr>
              <w:pStyle w:val="BodyText2"/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>j)</w:t>
            </w:r>
            <w:r w:rsidRPr="005521C3">
              <w:rPr>
                <w:rFonts w:ascii="Tahoma" w:eastAsia="Tahoma" w:hAnsi="Tahoma" w:cs="Tahoma"/>
                <w:bCs/>
                <w:sz w:val="20"/>
                <w:szCs w:val="20"/>
              </w:rPr>
              <w:tab/>
              <w:t>developing fluency in content vocabulary and comprehension of oral, written, and visual sources.</w:t>
            </w:r>
          </w:p>
        </w:tc>
      </w:tr>
    </w:tbl>
    <w:p w14:paraId="38328703" w14:textId="77777777" w:rsidR="000D26BC" w:rsidRPr="000D26BC" w:rsidRDefault="000D26BC" w:rsidP="000D26BC">
      <w:pPr>
        <w:rPr>
          <w:vanish/>
        </w:rPr>
      </w:pPr>
    </w:p>
    <w:p w14:paraId="07E00BD7" w14:textId="16AB4AC1" w:rsidR="00C510C6" w:rsidRPr="005521C3" w:rsidRDefault="00C510C6" w:rsidP="005521C3">
      <w:pPr>
        <w:rPr>
          <w:sz w:val="24"/>
        </w:rPr>
      </w:pPr>
    </w:p>
    <w:sectPr w:rsidR="00C510C6" w:rsidRPr="005521C3" w:rsidSect="00EB1C6F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00C0" w14:textId="77777777" w:rsidR="007027FA" w:rsidRDefault="007027FA">
      <w:pPr>
        <w:spacing w:line="240" w:lineRule="auto"/>
      </w:pPr>
      <w:r>
        <w:separator/>
      </w:r>
    </w:p>
  </w:endnote>
  <w:endnote w:type="continuationSeparator" w:id="0">
    <w:p w14:paraId="7A1424DB" w14:textId="77777777" w:rsidR="007027FA" w:rsidRDefault="00702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F7D2" w14:textId="77777777" w:rsidR="007027FA" w:rsidRDefault="007027FA">
      <w:pPr>
        <w:spacing w:line="240" w:lineRule="auto"/>
      </w:pPr>
      <w:r>
        <w:separator/>
      </w:r>
    </w:p>
  </w:footnote>
  <w:footnote w:type="continuationSeparator" w:id="0">
    <w:p w14:paraId="1322AC6D" w14:textId="77777777" w:rsidR="007027FA" w:rsidRDefault="00702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A32"/>
    <w:multiLevelType w:val="hybridMultilevel"/>
    <w:tmpl w:val="A8F89FD6"/>
    <w:lvl w:ilvl="0" w:tplc="28546C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A659B"/>
    <w:multiLevelType w:val="hybridMultilevel"/>
    <w:tmpl w:val="F214AB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7AE"/>
    <w:multiLevelType w:val="hybridMultilevel"/>
    <w:tmpl w:val="40C643B4"/>
    <w:lvl w:ilvl="0" w:tplc="0A92F3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40"/>
    <w:rsid w:val="000051EC"/>
    <w:rsid w:val="00065455"/>
    <w:rsid w:val="00095536"/>
    <w:rsid w:val="00097A40"/>
    <w:rsid w:val="000B64A8"/>
    <w:rsid w:val="000D2031"/>
    <w:rsid w:val="000D26BC"/>
    <w:rsid w:val="000E372F"/>
    <w:rsid w:val="001049D5"/>
    <w:rsid w:val="00130E56"/>
    <w:rsid w:val="001509C3"/>
    <w:rsid w:val="001A0F7D"/>
    <w:rsid w:val="001B225F"/>
    <w:rsid w:val="001D09A0"/>
    <w:rsid w:val="00204F14"/>
    <w:rsid w:val="0023711B"/>
    <w:rsid w:val="002507A3"/>
    <w:rsid w:val="00265AED"/>
    <w:rsid w:val="002773E6"/>
    <w:rsid w:val="002969CE"/>
    <w:rsid w:val="002A0B40"/>
    <w:rsid w:val="002A3BE1"/>
    <w:rsid w:val="002B6DC3"/>
    <w:rsid w:val="002F4CFB"/>
    <w:rsid w:val="002F7C1F"/>
    <w:rsid w:val="00302302"/>
    <w:rsid w:val="00307719"/>
    <w:rsid w:val="003C56BC"/>
    <w:rsid w:val="003E6EA0"/>
    <w:rsid w:val="003F3391"/>
    <w:rsid w:val="004011DE"/>
    <w:rsid w:val="00470670"/>
    <w:rsid w:val="004728E5"/>
    <w:rsid w:val="0047351B"/>
    <w:rsid w:val="00494396"/>
    <w:rsid w:val="004A13DF"/>
    <w:rsid w:val="004C5D5C"/>
    <w:rsid w:val="0051776D"/>
    <w:rsid w:val="005512F9"/>
    <w:rsid w:val="005521C3"/>
    <w:rsid w:val="005B1917"/>
    <w:rsid w:val="005B5D50"/>
    <w:rsid w:val="005E4088"/>
    <w:rsid w:val="005E505A"/>
    <w:rsid w:val="005F7CCB"/>
    <w:rsid w:val="00614285"/>
    <w:rsid w:val="00617DF7"/>
    <w:rsid w:val="006542D3"/>
    <w:rsid w:val="00656ACA"/>
    <w:rsid w:val="00665FC7"/>
    <w:rsid w:val="00680E06"/>
    <w:rsid w:val="006A6991"/>
    <w:rsid w:val="006C7031"/>
    <w:rsid w:val="00700455"/>
    <w:rsid w:val="007027FA"/>
    <w:rsid w:val="007105BE"/>
    <w:rsid w:val="007236E3"/>
    <w:rsid w:val="00725395"/>
    <w:rsid w:val="007737FD"/>
    <w:rsid w:val="007A1E0F"/>
    <w:rsid w:val="007D7188"/>
    <w:rsid w:val="007F0524"/>
    <w:rsid w:val="007F230F"/>
    <w:rsid w:val="00835633"/>
    <w:rsid w:val="00860324"/>
    <w:rsid w:val="008612CE"/>
    <w:rsid w:val="00895CE8"/>
    <w:rsid w:val="008A739D"/>
    <w:rsid w:val="008B3CBC"/>
    <w:rsid w:val="008E5F62"/>
    <w:rsid w:val="00911029"/>
    <w:rsid w:val="00927EA5"/>
    <w:rsid w:val="00955D2D"/>
    <w:rsid w:val="00970ACC"/>
    <w:rsid w:val="00971A08"/>
    <w:rsid w:val="00972962"/>
    <w:rsid w:val="009A18F1"/>
    <w:rsid w:val="009B3809"/>
    <w:rsid w:val="009B3B59"/>
    <w:rsid w:val="009F3CFD"/>
    <w:rsid w:val="00A22187"/>
    <w:rsid w:val="00A231FE"/>
    <w:rsid w:val="00A27DCE"/>
    <w:rsid w:val="00A419AB"/>
    <w:rsid w:val="00A422D7"/>
    <w:rsid w:val="00A56FD3"/>
    <w:rsid w:val="00A57889"/>
    <w:rsid w:val="00A615D7"/>
    <w:rsid w:val="00A827EC"/>
    <w:rsid w:val="00AA5292"/>
    <w:rsid w:val="00AA7D4C"/>
    <w:rsid w:val="00AB2121"/>
    <w:rsid w:val="00AC128B"/>
    <w:rsid w:val="00AE3FB3"/>
    <w:rsid w:val="00AF4991"/>
    <w:rsid w:val="00B0470B"/>
    <w:rsid w:val="00B55B27"/>
    <w:rsid w:val="00B725A5"/>
    <w:rsid w:val="00B80259"/>
    <w:rsid w:val="00BC65E7"/>
    <w:rsid w:val="00C26813"/>
    <w:rsid w:val="00C510C6"/>
    <w:rsid w:val="00C7355B"/>
    <w:rsid w:val="00CD3B60"/>
    <w:rsid w:val="00D005A5"/>
    <w:rsid w:val="00D119C4"/>
    <w:rsid w:val="00D22864"/>
    <w:rsid w:val="00D2460B"/>
    <w:rsid w:val="00D26F70"/>
    <w:rsid w:val="00D46DE2"/>
    <w:rsid w:val="00D557DB"/>
    <w:rsid w:val="00D61BAF"/>
    <w:rsid w:val="00D73B93"/>
    <w:rsid w:val="00D91A0E"/>
    <w:rsid w:val="00DA71C5"/>
    <w:rsid w:val="00DF307C"/>
    <w:rsid w:val="00E010C6"/>
    <w:rsid w:val="00E465A4"/>
    <w:rsid w:val="00E63F56"/>
    <w:rsid w:val="00E91805"/>
    <w:rsid w:val="00EB1C6F"/>
    <w:rsid w:val="00EC292D"/>
    <w:rsid w:val="00ED4218"/>
    <w:rsid w:val="00EF126B"/>
    <w:rsid w:val="00F17A3D"/>
    <w:rsid w:val="00F3494B"/>
    <w:rsid w:val="00FB7C9A"/>
    <w:rsid w:val="00FD2CD0"/>
    <w:rsid w:val="00FF0713"/>
    <w:rsid w:val="00FF5C1E"/>
    <w:rsid w:val="702FC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DCA8C"/>
  <w15:docId w15:val="{66730E0E-E333-440C-8022-3BEE482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F7D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F7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F7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A0F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0F7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0F7D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0F7D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6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16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162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162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162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162C5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A0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C5"/>
  </w:style>
  <w:style w:type="paragraph" w:styleId="Footer">
    <w:name w:val="footer"/>
    <w:basedOn w:val="Normal"/>
    <w:link w:val="FooterChar"/>
    <w:uiPriority w:val="99"/>
    <w:rsid w:val="001A0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C5"/>
  </w:style>
  <w:style w:type="paragraph" w:styleId="Title">
    <w:name w:val="Title"/>
    <w:basedOn w:val="Normal"/>
    <w:link w:val="TitleChar"/>
    <w:uiPriority w:val="10"/>
    <w:qFormat/>
    <w:rsid w:val="001A0F7D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F162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1A0F7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F162C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0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2C5"/>
    <w:rPr>
      <w:sz w:val="0"/>
      <w:szCs w:val="0"/>
    </w:rPr>
  </w:style>
  <w:style w:type="table" w:styleId="TableGrid">
    <w:name w:val="Table Grid"/>
    <w:basedOn w:val="TableNormal"/>
    <w:uiPriority w:val="59"/>
    <w:rsid w:val="0070045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422D7"/>
    <w:pPr>
      <w:widowControl/>
      <w:adjustRightInd/>
      <w:spacing w:after="120" w:line="480" w:lineRule="auto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C5"/>
  </w:style>
  <w:style w:type="paragraph" w:styleId="ListParagraph">
    <w:name w:val="List Paragraph"/>
    <w:basedOn w:val="Normal"/>
    <w:uiPriority w:val="34"/>
    <w:qFormat/>
    <w:rsid w:val="0047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A489-A316-42B4-A882-F8D61B18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of Study</vt:lpstr>
    </vt:vector>
  </TitlesOfParts>
  <Company>Navy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of Study</dc:title>
  <dc:creator>TENCAP2</dc:creator>
  <cp:lastModifiedBy>Kathy L. Russo</cp:lastModifiedBy>
  <cp:revision>2</cp:revision>
  <cp:lastPrinted>2010-05-18T18:02:00Z</cp:lastPrinted>
  <dcterms:created xsi:type="dcterms:W3CDTF">2022-05-04T12:02:00Z</dcterms:created>
  <dcterms:modified xsi:type="dcterms:W3CDTF">2022-05-04T12:02:00Z</dcterms:modified>
</cp:coreProperties>
</file>